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00A" w:rsidRPr="00C7140C" w:rsidRDefault="0002300A" w:rsidP="0002300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C7140C">
        <w:rPr>
          <w:rFonts w:ascii="Arial" w:hAnsi="Arial" w:cs="Arial"/>
          <w:sz w:val="24"/>
          <w:szCs w:val="24"/>
        </w:rPr>
        <w:t>OKLAHOMA EXTENSION ASSOCIATION</w:t>
      </w:r>
      <w:r>
        <w:rPr>
          <w:rFonts w:ascii="Arial" w:hAnsi="Arial" w:cs="Arial"/>
          <w:sz w:val="24"/>
          <w:szCs w:val="24"/>
        </w:rPr>
        <w:t xml:space="preserve"> </w:t>
      </w:r>
      <w:r w:rsidRPr="00C7140C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C7140C">
        <w:rPr>
          <w:rFonts w:ascii="Arial" w:hAnsi="Arial" w:cs="Arial"/>
          <w:sz w:val="24"/>
          <w:szCs w:val="24"/>
        </w:rPr>
        <w:t>FAMILY AND CONSUMER SCIENCES</w:t>
      </w:r>
    </w:p>
    <w:p w:rsidR="0002300A" w:rsidRDefault="0002300A" w:rsidP="0002300A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EXTENSION EDUCATOR OF THE YEAR</w:t>
      </w:r>
    </w:p>
    <w:p w:rsidR="0002300A" w:rsidRDefault="0002300A" w:rsidP="0002300A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:rsidR="0002300A" w:rsidRPr="0002300A" w:rsidRDefault="0002300A" w:rsidP="0002300A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BACKGROUND </w:t>
      </w:r>
    </w:p>
    <w:p w:rsidR="0002300A" w:rsidRDefault="0002300A" w:rsidP="0002300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02300A">
        <w:rPr>
          <w:rFonts w:ascii="Arial" w:hAnsi="Arial" w:cs="Arial"/>
          <w:sz w:val="24"/>
          <w:szCs w:val="24"/>
        </w:rPr>
        <w:t xml:space="preserve">The award is to recognize a professional Extension Family and Consumer Sciences Educator who is conducting outstanding educational programs that demonstrate impact on families and/or individuals. The member is also involved in continued professional improvement activities and is active in professional organizations.  One Extension Educator of the Year award will be given. The award </w:t>
      </w:r>
      <w:r w:rsidR="00DF4957">
        <w:rPr>
          <w:rFonts w:ascii="Arial" w:hAnsi="Arial" w:cs="Arial"/>
          <w:sz w:val="24"/>
          <w:szCs w:val="24"/>
        </w:rPr>
        <w:t xml:space="preserve">is </w:t>
      </w:r>
      <w:r w:rsidRPr="0002300A">
        <w:rPr>
          <w:rFonts w:ascii="Arial" w:hAnsi="Arial" w:cs="Arial"/>
          <w:sz w:val="24"/>
          <w:szCs w:val="24"/>
        </w:rPr>
        <w:t>a plaque</w:t>
      </w:r>
      <w:r w:rsidR="00DF4957">
        <w:rPr>
          <w:rFonts w:ascii="Arial" w:hAnsi="Arial" w:cs="Arial"/>
          <w:sz w:val="24"/>
          <w:szCs w:val="24"/>
        </w:rPr>
        <w:t xml:space="preserve"> given at the Annual NEAFCS Session</w:t>
      </w:r>
      <w:r w:rsidRPr="0002300A">
        <w:rPr>
          <w:rFonts w:ascii="Arial" w:hAnsi="Arial" w:cs="Arial"/>
          <w:sz w:val="24"/>
          <w:szCs w:val="24"/>
        </w:rPr>
        <w:t xml:space="preserve">. </w:t>
      </w:r>
    </w:p>
    <w:p w:rsidR="00DF4957" w:rsidRDefault="00DF4957" w:rsidP="0002300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02300A" w:rsidRPr="00C7140C" w:rsidRDefault="0002300A" w:rsidP="0002300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C7140C">
        <w:rPr>
          <w:rFonts w:ascii="Arial" w:hAnsi="Arial" w:cs="Arial"/>
          <w:sz w:val="24"/>
          <w:szCs w:val="24"/>
        </w:rPr>
        <w:t>Member states of NEAFCS may nominate one or more Extension Educators for their</w:t>
      </w:r>
    </w:p>
    <w:p w:rsidR="0002300A" w:rsidRDefault="0002300A" w:rsidP="0002300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C7140C">
        <w:rPr>
          <w:rFonts w:ascii="Arial" w:hAnsi="Arial" w:cs="Arial"/>
          <w:sz w:val="24"/>
          <w:szCs w:val="24"/>
        </w:rPr>
        <w:t>utstanding service. The number eligible in each state is determined by the number of members who</w:t>
      </w:r>
      <w:r>
        <w:rPr>
          <w:rFonts w:ascii="Arial" w:hAnsi="Arial" w:cs="Arial"/>
          <w:sz w:val="24"/>
          <w:szCs w:val="24"/>
        </w:rPr>
        <w:t xml:space="preserve"> </w:t>
      </w:r>
      <w:r w:rsidRPr="00C7140C">
        <w:rPr>
          <w:rFonts w:ascii="Arial" w:hAnsi="Arial" w:cs="Arial"/>
          <w:sz w:val="24"/>
          <w:szCs w:val="24"/>
        </w:rPr>
        <w:t>have paid membership dues to NEAFCS.</w:t>
      </w:r>
      <w:r>
        <w:rPr>
          <w:rFonts w:ascii="Arial" w:hAnsi="Arial" w:cs="Arial"/>
          <w:sz w:val="24"/>
          <w:szCs w:val="24"/>
        </w:rPr>
        <w:t xml:space="preserve">  The recipient at the State level will receive a Wisdom Angle the year following their national recognition.  (example: receive National award fall of 2010 will receive state award at the annual meeting spring 2011).     </w:t>
      </w:r>
    </w:p>
    <w:p w:rsidR="0002300A" w:rsidRDefault="0002300A" w:rsidP="0002300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02300A" w:rsidRPr="0002300A" w:rsidRDefault="0002300A" w:rsidP="0002300A">
      <w:pPr>
        <w:pStyle w:val="Default"/>
        <w:spacing w:before="120" w:after="120"/>
      </w:pPr>
      <w:r w:rsidRPr="0002300A">
        <w:rPr>
          <w:b/>
          <w:bCs/>
        </w:rPr>
        <w:t xml:space="preserve">ELIGIBILITY </w:t>
      </w:r>
    </w:p>
    <w:p w:rsidR="0002300A" w:rsidRPr="0002300A" w:rsidRDefault="0002300A" w:rsidP="0002300A">
      <w:pPr>
        <w:pStyle w:val="Default"/>
        <w:numPr>
          <w:ilvl w:val="0"/>
          <w:numId w:val="1"/>
        </w:numPr>
        <w:ind w:left="360" w:hanging="360"/>
      </w:pPr>
      <w:r w:rsidRPr="0002300A">
        <w:t xml:space="preserve">Persons who are current members of NEAFCS and have previously received the Distinguished Service Award and the Continued Excellence Award. </w:t>
      </w:r>
    </w:p>
    <w:p w:rsidR="0002300A" w:rsidRPr="0002300A" w:rsidRDefault="0002300A" w:rsidP="0002300A">
      <w:pPr>
        <w:pStyle w:val="Default"/>
        <w:numPr>
          <w:ilvl w:val="0"/>
          <w:numId w:val="1"/>
        </w:numPr>
        <w:ind w:left="360" w:hanging="360"/>
      </w:pPr>
      <w:r w:rsidRPr="0002300A">
        <w:t xml:space="preserve">Member of NEAFCS for at least 12 years. </w:t>
      </w:r>
    </w:p>
    <w:p w:rsidR="0002300A" w:rsidRPr="0002300A" w:rsidRDefault="0002300A" w:rsidP="0002300A">
      <w:pPr>
        <w:pStyle w:val="Default"/>
        <w:numPr>
          <w:ilvl w:val="0"/>
          <w:numId w:val="1"/>
        </w:numPr>
        <w:ind w:left="360" w:hanging="360"/>
      </w:pPr>
      <w:r w:rsidRPr="0002300A">
        <w:t xml:space="preserve">Applicant is actively involved in professional improvement. </w:t>
      </w:r>
    </w:p>
    <w:p w:rsidR="0002300A" w:rsidRPr="0002300A" w:rsidRDefault="0002300A" w:rsidP="0002300A">
      <w:pPr>
        <w:pStyle w:val="Default"/>
        <w:numPr>
          <w:ilvl w:val="0"/>
          <w:numId w:val="1"/>
        </w:numPr>
        <w:ind w:left="360" w:hanging="360"/>
      </w:pPr>
      <w:r w:rsidRPr="0002300A">
        <w:t xml:space="preserve">Applicant must have a well-planned educational program with results and accomplishments. </w:t>
      </w:r>
    </w:p>
    <w:p w:rsidR="0002300A" w:rsidRPr="0002300A" w:rsidRDefault="0002300A" w:rsidP="0002300A">
      <w:pPr>
        <w:pStyle w:val="Default"/>
        <w:numPr>
          <w:ilvl w:val="0"/>
          <w:numId w:val="1"/>
        </w:numPr>
        <w:ind w:left="360" w:hanging="360"/>
      </w:pPr>
      <w:r w:rsidRPr="0002300A">
        <w:t xml:space="preserve">Applicant shows leadership in professional associations. </w:t>
      </w:r>
    </w:p>
    <w:p w:rsidR="0002300A" w:rsidRPr="0002300A" w:rsidRDefault="0002300A" w:rsidP="0002300A">
      <w:pPr>
        <w:pStyle w:val="Default"/>
        <w:numPr>
          <w:ilvl w:val="0"/>
          <w:numId w:val="1"/>
        </w:numPr>
        <w:ind w:left="360" w:hanging="360"/>
      </w:pPr>
      <w:r w:rsidRPr="0002300A">
        <w:t xml:space="preserve">Applicant has attended at least four (4) NEAFCS Annual Sessions. </w:t>
      </w:r>
    </w:p>
    <w:p w:rsidR="0002300A" w:rsidRPr="0002300A" w:rsidRDefault="0002300A" w:rsidP="0002300A">
      <w:pPr>
        <w:pStyle w:val="Default"/>
        <w:numPr>
          <w:ilvl w:val="0"/>
          <w:numId w:val="1"/>
        </w:numPr>
        <w:ind w:left="360" w:hanging="360"/>
      </w:pPr>
      <w:r w:rsidRPr="0002300A">
        <w:t xml:space="preserve">This award can be received only once. </w:t>
      </w:r>
    </w:p>
    <w:p w:rsidR="0002300A" w:rsidRPr="0002300A" w:rsidRDefault="0002300A" w:rsidP="0002300A">
      <w:pPr>
        <w:pStyle w:val="Default"/>
        <w:numPr>
          <w:ilvl w:val="0"/>
          <w:numId w:val="1"/>
        </w:numPr>
        <w:ind w:left="360" w:hanging="360"/>
      </w:pPr>
      <w:r w:rsidRPr="0002300A">
        <w:t xml:space="preserve">A display at the Showcase of Excellence is required at Annual Conference the year the award is received to showcase an outstanding program of the recipient. </w:t>
      </w:r>
    </w:p>
    <w:p w:rsidR="0002300A" w:rsidRPr="0002300A" w:rsidRDefault="0002300A" w:rsidP="0002300A">
      <w:pPr>
        <w:pStyle w:val="Default"/>
      </w:pPr>
    </w:p>
    <w:p w:rsidR="0002300A" w:rsidRPr="0002300A" w:rsidRDefault="0002300A" w:rsidP="0002300A">
      <w:pPr>
        <w:pStyle w:val="Default"/>
        <w:spacing w:before="120" w:after="120"/>
      </w:pPr>
      <w:r w:rsidRPr="0002300A">
        <w:rPr>
          <w:b/>
          <w:bCs/>
        </w:rPr>
        <w:t xml:space="preserve">APPLICATION </w:t>
      </w:r>
    </w:p>
    <w:p w:rsidR="0002300A" w:rsidRPr="0002300A" w:rsidRDefault="0002300A" w:rsidP="0002300A">
      <w:pPr>
        <w:pStyle w:val="Default"/>
        <w:spacing w:before="100" w:after="240"/>
      </w:pPr>
      <w:r w:rsidRPr="0002300A">
        <w:t xml:space="preserve">Application is to be sent in a notebook with tabs for each of the five areas identified below. </w:t>
      </w:r>
    </w:p>
    <w:p w:rsidR="0002300A" w:rsidRPr="0002300A" w:rsidRDefault="0002300A" w:rsidP="0002300A">
      <w:pPr>
        <w:pStyle w:val="Default"/>
        <w:numPr>
          <w:ilvl w:val="0"/>
          <w:numId w:val="2"/>
        </w:numPr>
        <w:ind w:left="360" w:hanging="360"/>
      </w:pPr>
      <w:r w:rsidRPr="0002300A">
        <w:t>Complete the Online Awards Application and submit one signed printed copy as the cover of the application. This page should be visible without opening the cover of the application.</w:t>
      </w:r>
      <w:r>
        <w:t xml:space="preserve">  This is found on the National website </w:t>
      </w:r>
      <w:hyperlink r:id="rId5" w:history="1">
        <w:r w:rsidRPr="00D778A6">
          <w:rPr>
            <w:rStyle w:val="Hyperlink"/>
          </w:rPr>
          <w:t>www.neafcs.org</w:t>
        </w:r>
      </w:hyperlink>
    </w:p>
    <w:p w:rsidR="0002300A" w:rsidRPr="0002300A" w:rsidRDefault="0002300A" w:rsidP="0002300A">
      <w:pPr>
        <w:pStyle w:val="Default"/>
        <w:numPr>
          <w:ilvl w:val="0"/>
          <w:numId w:val="2"/>
        </w:numPr>
        <w:ind w:left="360" w:hanging="360"/>
      </w:pPr>
      <w:r w:rsidRPr="0002300A">
        <w:t xml:space="preserve">Vitae highlighting Extension career accomplishments and participation in professional organizations (limited to four (4) pages, written in outline form). </w:t>
      </w:r>
    </w:p>
    <w:p w:rsidR="0002300A" w:rsidRPr="0002300A" w:rsidRDefault="0002300A" w:rsidP="0002300A">
      <w:pPr>
        <w:pStyle w:val="Default"/>
        <w:numPr>
          <w:ilvl w:val="0"/>
          <w:numId w:val="2"/>
        </w:numPr>
        <w:ind w:left="360" w:hanging="360"/>
      </w:pPr>
      <w:r w:rsidRPr="0002300A">
        <w:t xml:space="preserve">Three letters from consumers, other Extension faculty, or agencies describing the impact of programs in the community. </w:t>
      </w:r>
    </w:p>
    <w:p w:rsidR="0002300A" w:rsidRPr="0002300A" w:rsidRDefault="0002300A" w:rsidP="0002300A">
      <w:pPr>
        <w:pStyle w:val="Default"/>
        <w:numPr>
          <w:ilvl w:val="0"/>
          <w:numId w:val="2"/>
        </w:numPr>
        <w:ind w:left="360" w:hanging="360"/>
      </w:pPr>
      <w:r w:rsidRPr="0002300A">
        <w:t xml:space="preserve">Letter of support from appropriate state supervisory staff or district administration. </w:t>
      </w:r>
    </w:p>
    <w:p w:rsidR="0002300A" w:rsidRPr="0002300A" w:rsidRDefault="0002300A" w:rsidP="0002300A">
      <w:pPr>
        <w:pStyle w:val="Default"/>
        <w:numPr>
          <w:ilvl w:val="0"/>
          <w:numId w:val="2"/>
        </w:numPr>
        <w:ind w:left="360" w:hanging="360"/>
      </w:pPr>
      <w:r w:rsidRPr="0002300A">
        <w:t xml:space="preserve">Supplementary Materials- limit of five (5) pieces. </w:t>
      </w:r>
    </w:p>
    <w:p w:rsidR="0002300A" w:rsidRPr="0002300A" w:rsidRDefault="0002300A" w:rsidP="0002300A">
      <w:pPr>
        <w:pStyle w:val="Default"/>
        <w:numPr>
          <w:ilvl w:val="0"/>
          <w:numId w:val="2"/>
        </w:numPr>
        <w:ind w:left="360" w:hanging="360"/>
      </w:pPr>
      <w:r w:rsidRPr="0002300A">
        <w:lastRenderedPageBreak/>
        <w:t xml:space="preserve">Submit 5” x 7” action photo of applicant. </w:t>
      </w:r>
    </w:p>
    <w:p w:rsidR="0002300A" w:rsidRPr="0002300A" w:rsidRDefault="0002300A" w:rsidP="0002300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02300A" w:rsidRPr="004C7668" w:rsidRDefault="0002300A" w:rsidP="0002300A">
      <w:pPr>
        <w:pStyle w:val="Default"/>
        <w:ind w:left="360" w:hanging="360"/>
        <w:jc w:val="center"/>
        <w:rPr>
          <w:b/>
          <w:i/>
          <w:sz w:val="22"/>
          <w:szCs w:val="22"/>
        </w:rPr>
      </w:pPr>
      <w:r w:rsidRPr="004C7668">
        <w:rPr>
          <w:b/>
          <w:i/>
          <w:sz w:val="22"/>
          <w:szCs w:val="22"/>
        </w:rPr>
        <w:t xml:space="preserve">Complete Application instructions follow national guidelines located at </w:t>
      </w:r>
      <w:hyperlink r:id="rId6" w:history="1">
        <w:r w:rsidRPr="004C7668">
          <w:rPr>
            <w:rStyle w:val="Hyperlink"/>
            <w:b/>
            <w:i/>
            <w:sz w:val="22"/>
            <w:szCs w:val="22"/>
          </w:rPr>
          <w:t>www.neafcs.org</w:t>
        </w:r>
      </w:hyperlink>
      <w:r w:rsidRPr="004C7668">
        <w:rPr>
          <w:b/>
          <w:i/>
          <w:sz w:val="22"/>
          <w:szCs w:val="22"/>
        </w:rPr>
        <w:t xml:space="preserve"> </w:t>
      </w:r>
    </w:p>
    <w:p w:rsidR="00A269EE" w:rsidRDefault="00A269EE">
      <w:pPr>
        <w:rPr>
          <w:rFonts w:ascii="Times New Roman" w:hAnsi="Times New Roman" w:cs="Times New Roman"/>
          <w:sz w:val="24"/>
          <w:szCs w:val="24"/>
        </w:rPr>
      </w:pPr>
    </w:p>
    <w:p w:rsidR="0002300A" w:rsidRDefault="0002300A">
      <w:pPr>
        <w:rPr>
          <w:rFonts w:ascii="Times New Roman" w:hAnsi="Times New Roman" w:cs="Times New Roman"/>
          <w:sz w:val="24"/>
          <w:szCs w:val="24"/>
        </w:rPr>
      </w:pPr>
    </w:p>
    <w:p w:rsidR="0002300A" w:rsidRDefault="0002300A">
      <w:pPr>
        <w:rPr>
          <w:rFonts w:ascii="Times New Roman" w:hAnsi="Times New Roman" w:cs="Times New Roman"/>
          <w:sz w:val="24"/>
          <w:szCs w:val="24"/>
        </w:rPr>
      </w:pPr>
    </w:p>
    <w:p w:rsidR="0002300A" w:rsidRDefault="000230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EXTENSION EDUCATOR OF THE YEAR </w:t>
      </w:r>
    </w:p>
    <w:p w:rsidR="0002300A" w:rsidRDefault="0002300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567" w:type="dxa"/>
        <w:tblLook w:val="04A0" w:firstRow="1" w:lastRow="0" w:firstColumn="1" w:lastColumn="0" w:noHBand="0" w:noVBand="1"/>
      </w:tblPr>
      <w:tblGrid>
        <w:gridCol w:w="1458"/>
        <w:gridCol w:w="5993"/>
      </w:tblGrid>
      <w:tr w:rsidR="0002300A" w:rsidTr="00105841">
        <w:tc>
          <w:tcPr>
            <w:tcW w:w="1458" w:type="dxa"/>
          </w:tcPr>
          <w:p w:rsidR="0002300A" w:rsidRDefault="00783766" w:rsidP="00783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5993" w:type="dxa"/>
          </w:tcPr>
          <w:p w:rsidR="0002300A" w:rsidRDefault="007837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Riletta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Marshal, Muskogee </w:t>
            </w:r>
          </w:p>
        </w:tc>
      </w:tr>
      <w:tr w:rsidR="0002300A" w:rsidTr="00105841">
        <w:tc>
          <w:tcPr>
            <w:tcW w:w="1458" w:type="dxa"/>
          </w:tcPr>
          <w:p w:rsidR="0002300A" w:rsidRDefault="00783766" w:rsidP="00783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5993" w:type="dxa"/>
          </w:tcPr>
          <w:p w:rsidR="0002300A" w:rsidRDefault="00783766" w:rsidP="005A3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Claire Powell, Oklahoma </w:t>
            </w:r>
          </w:p>
        </w:tc>
      </w:tr>
      <w:tr w:rsidR="0002300A" w:rsidTr="00105841">
        <w:tc>
          <w:tcPr>
            <w:tcW w:w="1458" w:type="dxa"/>
          </w:tcPr>
          <w:p w:rsidR="0002300A" w:rsidRDefault="00783766" w:rsidP="00783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5993" w:type="dxa"/>
          </w:tcPr>
          <w:p w:rsidR="0002300A" w:rsidRDefault="00783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Edwina Kelly, Lincoln </w:t>
            </w:r>
          </w:p>
        </w:tc>
      </w:tr>
      <w:tr w:rsidR="0002300A" w:rsidTr="00105841">
        <w:tc>
          <w:tcPr>
            <w:tcW w:w="1458" w:type="dxa"/>
          </w:tcPr>
          <w:p w:rsidR="0002300A" w:rsidRDefault="00783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5993" w:type="dxa"/>
          </w:tcPr>
          <w:p w:rsidR="0002300A" w:rsidRDefault="00783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Cynthia Griffith, Rogers </w:t>
            </w:r>
          </w:p>
        </w:tc>
      </w:tr>
      <w:tr w:rsidR="008A779F" w:rsidTr="00105841">
        <w:tc>
          <w:tcPr>
            <w:tcW w:w="1458" w:type="dxa"/>
          </w:tcPr>
          <w:p w:rsidR="008A779F" w:rsidRDefault="008A77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5993" w:type="dxa"/>
          </w:tcPr>
          <w:p w:rsidR="008A779F" w:rsidRDefault="008A77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Laverda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Johnson, Pushmataha</w:t>
            </w:r>
          </w:p>
        </w:tc>
      </w:tr>
      <w:tr w:rsidR="0002300A" w:rsidTr="00105841">
        <w:tc>
          <w:tcPr>
            <w:tcW w:w="1458" w:type="dxa"/>
          </w:tcPr>
          <w:p w:rsidR="0002300A" w:rsidRDefault="00783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5993" w:type="dxa"/>
          </w:tcPr>
          <w:p w:rsidR="0002300A" w:rsidRDefault="00783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Pamela Varner, Cotton </w:t>
            </w:r>
          </w:p>
        </w:tc>
      </w:tr>
      <w:tr w:rsidR="0002300A" w:rsidTr="00105841">
        <w:tc>
          <w:tcPr>
            <w:tcW w:w="1458" w:type="dxa"/>
          </w:tcPr>
          <w:p w:rsidR="0002300A" w:rsidRDefault="00783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2010 </w:t>
            </w:r>
          </w:p>
        </w:tc>
        <w:tc>
          <w:tcPr>
            <w:tcW w:w="5993" w:type="dxa"/>
          </w:tcPr>
          <w:p w:rsidR="0002300A" w:rsidRDefault="00783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Phyllis Cothren, Garvin </w:t>
            </w:r>
          </w:p>
        </w:tc>
      </w:tr>
      <w:tr w:rsidR="0002300A" w:rsidTr="00105841">
        <w:tc>
          <w:tcPr>
            <w:tcW w:w="1458" w:type="dxa"/>
          </w:tcPr>
          <w:p w:rsidR="0002300A" w:rsidRDefault="00465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5993" w:type="dxa"/>
          </w:tcPr>
          <w:p w:rsidR="0002300A" w:rsidRDefault="00412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Maples, Okfuskee </w:t>
            </w:r>
          </w:p>
        </w:tc>
      </w:tr>
      <w:tr w:rsidR="00412D41" w:rsidTr="00105841">
        <w:tc>
          <w:tcPr>
            <w:tcW w:w="1458" w:type="dxa"/>
          </w:tcPr>
          <w:p w:rsidR="00412D41" w:rsidRDefault="00412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5993" w:type="dxa"/>
          </w:tcPr>
          <w:p w:rsidR="00412D41" w:rsidRDefault="00412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412D41" w:rsidTr="00105841">
        <w:tc>
          <w:tcPr>
            <w:tcW w:w="1458" w:type="dxa"/>
          </w:tcPr>
          <w:p w:rsidR="00412D41" w:rsidRDefault="00412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5993" w:type="dxa"/>
          </w:tcPr>
          <w:p w:rsidR="00412D41" w:rsidRDefault="00412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Susan Moffat, Cleveland </w:t>
            </w:r>
          </w:p>
        </w:tc>
      </w:tr>
      <w:tr w:rsidR="00412D41" w:rsidTr="00105841">
        <w:tc>
          <w:tcPr>
            <w:tcW w:w="1458" w:type="dxa"/>
          </w:tcPr>
          <w:p w:rsidR="00412D41" w:rsidRDefault="00412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5993" w:type="dxa"/>
          </w:tcPr>
          <w:p w:rsidR="00412D41" w:rsidRDefault="00412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NONE </w:t>
            </w:r>
          </w:p>
        </w:tc>
      </w:tr>
      <w:tr w:rsidR="00412D41" w:rsidTr="00105841">
        <w:tc>
          <w:tcPr>
            <w:tcW w:w="1458" w:type="dxa"/>
          </w:tcPr>
          <w:p w:rsidR="00412D41" w:rsidRDefault="00412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5993" w:type="dxa"/>
          </w:tcPr>
          <w:p w:rsidR="00412D41" w:rsidRDefault="00412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Janna Kelly, Pontotoc </w:t>
            </w:r>
          </w:p>
        </w:tc>
      </w:tr>
      <w:tr w:rsidR="00970E83" w:rsidTr="00105841">
        <w:tc>
          <w:tcPr>
            <w:tcW w:w="1458" w:type="dxa"/>
          </w:tcPr>
          <w:p w:rsidR="00970E83" w:rsidRDefault="0097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5993" w:type="dxa"/>
          </w:tcPr>
          <w:p w:rsidR="00970E83" w:rsidRDefault="0097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NONE </w:t>
            </w:r>
          </w:p>
        </w:tc>
      </w:tr>
      <w:tr w:rsidR="00970E83" w:rsidTr="00105841">
        <w:tc>
          <w:tcPr>
            <w:tcW w:w="1458" w:type="dxa"/>
          </w:tcPr>
          <w:p w:rsidR="00970E83" w:rsidRDefault="0097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5993" w:type="dxa"/>
          </w:tcPr>
          <w:p w:rsidR="00970E83" w:rsidRDefault="0097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Arleen James, Texas</w:t>
            </w:r>
          </w:p>
        </w:tc>
      </w:tr>
      <w:tr w:rsidR="00970E83" w:rsidTr="00105841">
        <w:tc>
          <w:tcPr>
            <w:tcW w:w="1458" w:type="dxa"/>
          </w:tcPr>
          <w:p w:rsidR="00970E83" w:rsidRDefault="0097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5993" w:type="dxa"/>
          </w:tcPr>
          <w:p w:rsidR="00970E83" w:rsidRDefault="0097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Radonna Sawatzky, Custer </w:t>
            </w:r>
          </w:p>
        </w:tc>
      </w:tr>
      <w:tr w:rsidR="00105841" w:rsidTr="00105841">
        <w:tc>
          <w:tcPr>
            <w:tcW w:w="1458" w:type="dxa"/>
          </w:tcPr>
          <w:p w:rsidR="00105841" w:rsidRDefault="00105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5993" w:type="dxa"/>
          </w:tcPr>
          <w:p w:rsidR="00105841" w:rsidRDefault="00105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Brenda Miller, Northeast District Program Specialist </w:t>
            </w:r>
          </w:p>
        </w:tc>
      </w:tr>
    </w:tbl>
    <w:p w:rsidR="0002300A" w:rsidRPr="0002300A" w:rsidRDefault="0002300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2300A" w:rsidRPr="0002300A" w:rsidSect="00A6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6F1DD8"/>
    <w:multiLevelType w:val="hybridMultilevel"/>
    <w:tmpl w:val="8BF2FB9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6370D8"/>
    <w:multiLevelType w:val="hybridMultilevel"/>
    <w:tmpl w:val="3D6F9FD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00A"/>
    <w:rsid w:val="0002300A"/>
    <w:rsid w:val="00024EFC"/>
    <w:rsid w:val="00105841"/>
    <w:rsid w:val="00412D41"/>
    <w:rsid w:val="00465BF5"/>
    <w:rsid w:val="005000E7"/>
    <w:rsid w:val="005A39B6"/>
    <w:rsid w:val="006C1986"/>
    <w:rsid w:val="00704F19"/>
    <w:rsid w:val="00783766"/>
    <w:rsid w:val="0086430B"/>
    <w:rsid w:val="008A779F"/>
    <w:rsid w:val="00970E83"/>
    <w:rsid w:val="00A269EE"/>
    <w:rsid w:val="00A6286B"/>
    <w:rsid w:val="00D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975F"/>
  <w15:docId w15:val="{BD3E7D8E-EC59-45BB-B2A4-7FA79530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300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30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afcs.org" TargetMode="External"/><Relationship Id="rId5" Type="http://schemas.openxmlformats.org/officeDocument/2006/relationships/hyperlink" Target="http://www.neafc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McDaniel, Sonya</cp:lastModifiedBy>
  <cp:revision>9</cp:revision>
  <dcterms:created xsi:type="dcterms:W3CDTF">2011-01-10T22:26:00Z</dcterms:created>
  <dcterms:modified xsi:type="dcterms:W3CDTF">2019-04-26T19:35:00Z</dcterms:modified>
</cp:coreProperties>
</file>